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center"/>
        <w:rPr>
          <w:rFonts w:hint="eastAsia" w:ascii="黑体" w:eastAsia="黑体"/>
          <w:b/>
          <w:sz w:val="52"/>
        </w:rPr>
      </w:pPr>
    </w:p>
    <w:p>
      <w:pPr>
        <w:spacing w:line="300" w:lineRule="auto"/>
        <w:jc w:val="center"/>
        <w:rPr>
          <w:rFonts w:hint="eastAsia" w:ascii="黑体" w:eastAsia="黑体"/>
          <w:b/>
          <w:sz w:val="44"/>
          <w:szCs w:val="44"/>
        </w:rPr>
      </w:pPr>
      <w:r>
        <w:rPr>
          <w:rFonts w:hint="eastAsia" w:ascii="黑体" w:eastAsia="黑体"/>
          <w:b/>
          <w:sz w:val="44"/>
          <w:szCs w:val="44"/>
          <w:lang w:val="en-US" w:eastAsia="zh-CN"/>
        </w:rPr>
        <w:t>接线端子</w:t>
      </w:r>
      <w:r>
        <w:rPr>
          <w:rFonts w:hint="eastAsia" w:ascii="黑体" w:eastAsia="黑体"/>
          <w:b/>
          <w:sz w:val="44"/>
          <w:szCs w:val="44"/>
        </w:rPr>
        <w:t>技术规范书</w:t>
      </w:r>
    </w:p>
    <w:p>
      <w:pPr>
        <w:spacing w:line="300" w:lineRule="auto"/>
        <w:jc w:val="center"/>
        <w:rPr>
          <w:rFonts w:hint="eastAsia" w:ascii="宋体"/>
          <w:sz w:val="44"/>
        </w:rPr>
      </w:pPr>
    </w:p>
    <w:p>
      <w:pPr>
        <w:spacing w:line="300" w:lineRule="auto"/>
        <w:jc w:val="center"/>
        <w:rPr>
          <w:rFonts w:hint="eastAsia" w:ascii="宋体"/>
          <w:sz w:val="24"/>
        </w:rPr>
      </w:pPr>
    </w:p>
    <w:p>
      <w:pPr>
        <w:spacing w:line="300" w:lineRule="auto"/>
        <w:rPr>
          <w:rFonts w:ascii="宋体"/>
          <w:sz w:val="24"/>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hint="eastAsia" w:ascii="黑体" w:eastAsia="黑体"/>
          <w:sz w:val="32"/>
        </w:rPr>
      </w:pPr>
    </w:p>
    <w:p>
      <w:pPr>
        <w:spacing w:line="300" w:lineRule="auto"/>
        <w:rPr>
          <w:rFonts w:ascii="黑体" w:eastAsia="黑体"/>
          <w:sz w:val="32"/>
        </w:rPr>
      </w:pPr>
    </w:p>
    <w:p>
      <w:pPr>
        <w:pStyle w:val="2"/>
        <w:spacing w:line="300" w:lineRule="auto"/>
        <w:jc w:val="center"/>
        <w:rPr>
          <w:rFonts w:ascii="黑体" w:eastAsia="黑体"/>
          <w:b/>
          <w:sz w:val="30"/>
        </w:rPr>
      </w:pPr>
    </w:p>
    <w:p>
      <w:pPr>
        <w:pStyle w:val="2"/>
        <w:spacing w:line="300" w:lineRule="auto"/>
        <w:jc w:val="center"/>
        <w:rPr>
          <w:rFonts w:hint="eastAsia" w:ascii="黑体" w:eastAsia="黑体"/>
          <w:b/>
          <w:sz w:val="30"/>
        </w:rPr>
      </w:pPr>
      <w:r>
        <w:rPr>
          <w:rFonts w:hint="eastAsia" w:ascii="黑体" w:eastAsia="黑体"/>
          <w:b/>
          <w:sz w:val="30"/>
        </w:rPr>
        <w:t>南宁供电局青秀分局</w:t>
      </w:r>
    </w:p>
    <w:p>
      <w:pPr>
        <w:pStyle w:val="2"/>
        <w:spacing w:line="300" w:lineRule="auto"/>
        <w:jc w:val="center"/>
        <w:rPr>
          <w:rFonts w:hint="eastAsia" w:ascii="黑体" w:eastAsia="黑体"/>
          <w:b/>
          <w:sz w:val="30"/>
        </w:rPr>
      </w:pPr>
      <w:r>
        <w:rPr>
          <w:rFonts w:hint="eastAsia" w:ascii="黑体" w:eastAsia="黑体"/>
          <w:b/>
          <w:sz w:val="30"/>
        </w:rPr>
        <w:t>202</w:t>
      </w:r>
      <w:r>
        <w:rPr>
          <w:rFonts w:hint="eastAsia" w:ascii="黑体" w:eastAsia="黑体"/>
          <w:b/>
          <w:sz w:val="30"/>
          <w:lang w:val="en-US" w:eastAsia="zh-CN"/>
        </w:rPr>
        <w:t>4</w:t>
      </w:r>
      <w:r>
        <w:rPr>
          <w:rFonts w:hint="eastAsia" w:ascii="黑体" w:eastAsia="黑体"/>
          <w:b/>
          <w:sz w:val="30"/>
        </w:rPr>
        <w:t>年</w:t>
      </w:r>
      <w:r>
        <w:rPr>
          <w:rFonts w:hint="eastAsia" w:ascii="黑体" w:eastAsia="黑体"/>
          <w:b/>
          <w:sz w:val="30"/>
          <w:lang w:val="en-US" w:eastAsia="zh-CN"/>
        </w:rPr>
        <w:t>2</w:t>
      </w:r>
      <w:r>
        <w:rPr>
          <w:rFonts w:hint="eastAsia" w:ascii="黑体" w:eastAsia="黑体"/>
          <w:b/>
          <w:sz w:val="30"/>
        </w:rPr>
        <w:t>月</w:t>
      </w: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00" w:lineRule="auto"/>
        <w:rPr>
          <w:rFonts w:hint="eastAsia" w:ascii="宋体"/>
          <w:sz w:val="24"/>
        </w:rPr>
      </w:pPr>
    </w:p>
    <w:p>
      <w:pPr>
        <w:spacing w:line="360" w:lineRule="auto"/>
        <w:outlineLvl w:val="0"/>
        <w:rPr>
          <w:rFonts w:hint="eastAsia" w:ascii="宋体" w:hAnsi="宋体"/>
          <w:b/>
          <w:sz w:val="24"/>
          <w:szCs w:val="24"/>
        </w:rPr>
      </w:pPr>
      <w:bookmarkStart w:id="0" w:name="_Toc206839516"/>
      <w:r>
        <w:rPr>
          <w:rFonts w:hint="eastAsia" w:ascii="宋体" w:hAnsi="宋体"/>
          <w:b/>
          <w:sz w:val="24"/>
          <w:szCs w:val="24"/>
        </w:rPr>
        <w:t>1.总则</w:t>
      </w:r>
      <w:bookmarkEnd w:id="0"/>
    </w:p>
    <w:p>
      <w:pPr>
        <w:spacing w:line="360" w:lineRule="auto"/>
        <w:ind w:firstLine="360" w:firstLineChars="150"/>
        <w:outlineLvl w:val="0"/>
        <w:rPr>
          <w:rFonts w:hint="eastAsia" w:ascii="宋体" w:hAnsi="宋体"/>
          <w:sz w:val="24"/>
          <w:szCs w:val="24"/>
        </w:rPr>
      </w:pPr>
      <w:r>
        <w:rPr>
          <w:rFonts w:hint="eastAsia" w:ascii="宋体" w:hAnsi="宋体"/>
          <w:sz w:val="24"/>
          <w:szCs w:val="24"/>
        </w:rPr>
        <w:t>1.1本规范书适用于广西电网公司南宁供电局青秀分局</w:t>
      </w:r>
      <w:r>
        <w:rPr>
          <w:rFonts w:hint="eastAsia" w:ascii="宋体" w:hAnsi="宋体"/>
          <w:sz w:val="24"/>
          <w:szCs w:val="24"/>
          <w:lang w:eastAsia="zh-CN"/>
        </w:rPr>
        <w:t>接线端子</w:t>
      </w:r>
      <w:r>
        <w:rPr>
          <w:rFonts w:hint="eastAsia" w:ascii="宋体" w:hAnsi="宋体"/>
          <w:sz w:val="24"/>
          <w:szCs w:val="24"/>
        </w:rPr>
        <w:t>的订货及验收的技术要求。</w:t>
      </w:r>
    </w:p>
    <w:p>
      <w:pPr>
        <w:spacing w:line="440" w:lineRule="exact"/>
        <w:ind w:firstLine="360" w:firstLineChars="150"/>
        <w:rPr>
          <w:rFonts w:hint="eastAsia" w:ascii="宋体" w:hAnsi="宋体"/>
          <w:sz w:val="24"/>
        </w:rPr>
      </w:pPr>
      <w:r>
        <w:rPr>
          <w:rFonts w:hint="eastAsia" w:ascii="宋体" w:hAnsi="宋体"/>
          <w:sz w:val="24"/>
        </w:rPr>
        <w:t>1.2本装置应满足需方在本规范书中提出了最低限度的技术要求，并未规定所有的技术要求和适用的标准，未对一切技术细则作出规定，也未充分引述有关标准和规范的条文，供方应提供一套满足本规范书和现行有关标准要求的高质量产品及其相应服务。</w:t>
      </w:r>
    </w:p>
    <w:p>
      <w:pPr>
        <w:spacing w:line="440" w:lineRule="exact"/>
        <w:ind w:firstLine="360" w:firstLineChars="150"/>
        <w:rPr>
          <w:rFonts w:hint="eastAsia" w:ascii="宋体" w:hAnsi="宋体"/>
          <w:sz w:val="24"/>
        </w:rPr>
      </w:pPr>
      <w:r>
        <w:rPr>
          <w:rFonts w:hint="eastAsia" w:ascii="宋体" w:hAnsi="宋体"/>
          <w:sz w:val="24"/>
        </w:rPr>
        <w:t>1.3如果供方没有以书面形式对本规范书的条款提出异议，则意味着供方提供的设备（或系统）完全满足本规范书的要求。如有异议，不管是多么微小，都应在投标书中以“对规范书的意见和与规范书的差异”为标题的专门章节加以详细描述。本规范书的条款，除了用“宜”字表述的条款外，对低于本规范书技术要求的差异一律不接受。</w:t>
      </w:r>
    </w:p>
    <w:p>
      <w:pPr>
        <w:spacing w:line="440" w:lineRule="exact"/>
        <w:ind w:firstLine="360" w:firstLineChars="150"/>
        <w:rPr>
          <w:rFonts w:ascii="宋体" w:hAnsi="宋体"/>
          <w:sz w:val="24"/>
        </w:rPr>
      </w:pPr>
      <w:r>
        <w:rPr>
          <w:rFonts w:hint="eastAsia" w:ascii="宋体" w:hAnsi="宋体"/>
          <w:sz w:val="24"/>
        </w:rPr>
        <w:t>1.4本设备技术规范书经需供双方确认后作为订货合同的技术附件，与合同正文具有同等的法律效力。</w:t>
      </w:r>
    </w:p>
    <w:p>
      <w:pPr>
        <w:spacing w:line="440" w:lineRule="exact"/>
        <w:ind w:firstLine="360" w:firstLineChars="150"/>
        <w:rPr>
          <w:rFonts w:hint="eastAsia" w:ascii="宋体" w:hAnsi="宋体"/>
          <w:sz w:val="24"/>
        </w:rPr>
      </w:pPr>
      <w:r>
        <w:rPr>
          <w:rFonts w:hint="eastAsia" w:ascii="宋体" w:hAnsi="宋体"/>
          <w:sz w:val="24"/>
          <w:szCs w:val="24"/>
        </w:rPr>
        <w:t>1.5本设备技术规范书未尽事宜，由</w:t>
      </w:r>
      <w:r>
        <w:rPr>
          <w:rFonts w:hint="eastAsia" w:ascii="宋体" w:hAnsi="宋体"/>
          <w:sz w:val="24"/>
        </w:rPr>
        <w:t>需供双方协商确定。</w:t>
      </w:r>
    </w:p>
    <w:p>
      <w:pPr>
        <w:spacing w:line="440" w:lineRule="exact"/>
        <w:ind w:firstLine="240" w:firstLineChars="100"/>
        <w:rPr>
          <w:rFonts w:hint="eastAsia" w:ascii="宋体" w:hAnsi="宋体"/>
          <w:sz w:val="24"/>
        </w:rPr>
      </w:pPr>
    </w:p>
    <w:p>
      <w:pPr>
        <w:spacing w:line="360" w:lineRule="auto"/>
        <w:outlineLvl w:val="0"/>
        <w:rPr>
          <w:rFonts w:hint="eastAsia" w:ascii="宋体" w:hAnsi="宋体"/>
          <w:b/>
          <w:sz w:val="24"/>
          <w:szCs w:val="24"/>
        </w:rPr>
      </w:pPr>
      <w:r>
        <w:rPr>
          <w:rFonts w:hint="eastAsia" w:ascii="宋体" w:hAnsi="宋体"/>
          <w:b/>
          <w:sz w:val="24"/>
          <w:szCs w:val="24"/>
        </w:rPr>
        <w:t>2. 引用标准</w:t>
      </w:r>
    </w:p>
    <w:p>
      <w:pPr>
        <w:widowControl/>
        <w:spacing w:line="360" w:lineRule="auto"/>
        <w:rPr>
          <w:rFonts w:hint="eastAsia" w:ascii="宋体" w:hAnsi="宋体" w:cs="Courier New"/>
          <w:sz w:val="24"/>
          <w:szCs w:val="20"/>
        </w:rPr>
      </w:pPr>
      <w:r>
        <w:rPr>
          <w:rFonts w:hint="eastAsia" w:ascii="宋体" w:hAnsi="宋体" w:cs="Courier New"/>
          <w:sz w:val="24"/>
          <w:szCs w:val="20"/>
        </w:rPr>
        <w:t>《配电自动化站所终端技术规范书》</w:t>
      </w:r>
    </w:p>
    <w:p>
      <w:pPr>
        <w:widowControl/>
        <w:spacing w:line="360" w:lineRule="auto"/>
        <w:rPr>
          <w:rFonts w:hint="eastAsia" w:ascii="宋体" w:hAnsi="宋体"/>
          <w:color w:val="000000"/>
          <w:kern w:val="0"/>
          <w:sz w:val="24"/>
        </w:rPr>
      </w:pPr>
      <w:r>
        <w:rPr>
          <w:rFonts w:ascii="宋体" w:hAnsi="宋体"/>
          <w:color w:val="000000"/>
          <w:kern w:val="0"/>
          <w:sz w:val="24"/>
        </w:rPr>
        <w:t> </w:t>
      </w:r>
    </w:p>
    <w:p>
      <w:pPr>
        <w:spacing w:line="360" w:lineRule="auto"/>
        <w:outlineLvl w:val="0"/>
        <w:rPr>
          <w:rFonts w:ascii="宋体" w:hAnsi="宋体"/>
          <w:b/>
          <w:sz w:val="24"/>
          <w:szCs w:val="24"/>
        </w:rPr>
      </w:pPr>
      <w:r>
        <w:rPr>
          <w:rFonts w:hint="eastAsia" w:ascii="宋体" w:hAnsi="宋体"/>
          <w:b/>
          <w:sz w:val="24"/>
          <w:szCs w:val="24"/>
        </w:rPr>
        <w:t>3. 使用环境条件</w:t>
      </w:r>
    </w:p>
    <w:p>
      <w:pPr>
        <w:adjustRightInd w:val="0"/>
        <w:snapToGrid w:val="0"/>
        <w:spacing w:line="360" w:lineRule="auto"/>
        <w:ind w:firstLine="480" w:firstLineChars="200"/>
        <w:rPr>
          <w:rFonts w:ascii="宋体" w:hAnsi="宋体"/>
          <w:sz w:val="24"/>
        </w:rPr>
      </w:pPr>
      <w:bookmarkStart w:id="1" w:name="_Toc469818036"/>
      <w:r>
        <w:rPr>
          <w:rFonts w:hint="eastAsia" w:ascii="宋体" w:hAnsi="宋体"/>
          <w:sz w:val="24"/>
        </w:rPr>
        <w:t>3.1</w:t>
      </w:r>
      <w:r>
        <w:rPr>
          <w:rFonts w:ascii="宋体" w:hAnsi="宋体"/>
          <w:sz w:val="24"/>
        </w:rPr>
        <w:t xml:space="preserve"> </w:t>
      </w:r>
      <w:r>
        <w:rPr>
          <w:rFonts w:hint="eastAsia" w:ascii="宋体" w:hAnsi="宋体"/>
          <w:sz w:val="24"/>
        </w:rPr>
        <w:t>工作环境温度</w:t>
      </w:r>
      <w:r>
        <w:rPr>
          <w:rFonts w:ascii="宋体" w:hAnsi="宋体"/>
          <w:sz w:val="24"/>
        </w:rPr>
        <w:t>：</w:t>
      </w:r>
      <w:bookmarkEnd w:id="1"/>
    </w:p>
    <w:p>
      <w:pPr>
        <w:adjustRightInd w:val="0"/>
        <w:snapToGrid w:val="0"/>
        <w:spacing w:line="360" w:lineRule="auto"/>
        <w:ind w:firstLine="480" w:firstLineChars="200"/>
        <w:rPr>
          <w:rFonts w:ascii="宋体" w:hAnsi="宋体"/>
          <w:sz w:val="24"/>
        </w:rPr>
      </w:pPr>
      <w:r>
        <w:rPr>
          <w:rFonts w:ascii="宋体" w:hAnsi="宋体"/>
          <w:sz w:val="24"/>
        </w:rPr>
        <w:t xml:space="preserve">    </w:t>
      </w:r>
      <w:r>
        <w:rPr>
          <w:rFonts w:hint="eastAsia" w:ascii="宋体" w:hAnsi="宋体"/>
          <w:sz w:val="24"/>
        </w:rPr>
        <w:t xml:space="preserve"> 最高气温</w:t>
      </w:r>
      <w:r>
        <w:rPr>
          <w:rFonts w:ascii="宋体" w:hAnsi="宋体"/>
          <w:sz w:val="24"/>
        </w:rPr>
        <w:t>：</w:t>
      </w:r>
      <w:r>
        <w:rPr>
          <w:rFonts w:hint="eastAsia" w:ascii="宋体" w:hAnsi="宋体"/>
          <w:color w:val="000000"/>
          <w:kern w:val="0"/>
          <w:sz w:val="24"/>
        </w:rPr>
        <w:t>+</w:t>
      </w:r>
      <w:r>
        <w:rPr>
          <w:rFonts w:hint="eastAsia" w:ascii="宋体" w:hAnsi="宋体"/>
          <w:color w:val="000000"/>
          <w:kern w:val="0"/>
          <w:sz w:val="24"/>
          <w:lang w:val="en-US" w:eastAsia="zh-CN"/>
        </w:rPr>
        <w:t>40</w:t>
      </w:r>
      <w:r>
        <w:rPr>
          <w:rFonts w:hint="eastAsia" w:ascii="宋体" w:hAnsi="宋体"/>
          <w:color w:val="000000"/>
          <w:kern w:val="0"/>
          <w:sz w:val="24"/>
        </w:rPr>
        <w:t>℃</w:t>
      </w:r>
    </w:p>
    <w:p>
      <w:pPr>
        <w:adjustRightInd w:val="0"/>
        <w:snapToGrid w:val="0"/>
        <w:spacing w:line="360" w:lineRule="auto"/>
        <w:ind w:firstLine="480" w:firstLineChars="200"/>
        <w:rPr>
          <w:rFonts w:hint="eastAsia" w:ascii="宋体" w:hAnsi="宋体"/>
          <w:color w:val="000000"/>
          <w:kern w:val="0"/>
          <w:sz w:val="24"/>
        </w:rPr>
      </w:pPr>
      <w:r>
        <w:rPr>
          <w:rFonts w:hint="eastAsia" w:ascii="宋体" w:hAnsi="宋体"/>
          <w:sz w:val="24"/>
        </w:rPr>
        <w:t xml:space="preserve">     最低气温</w:t>
      </w:r>
      <w:r>
        <w:rPr>
          <w:rFonts w:ascii="宋体" w:hAnsi="宋体"/>
          <w:sz w:val="24"/>
        </w:rPr>
        <w:t>：</w:t>
      </w:r>
      <w:r>
        <w:rPr>
          <w:rFonts w:hint="eastAsia" w:ascii="宋体" w:hAnsi="宋体"/>
          <w:color w:val="000000"/>
          <w:kern w:val="0"/>
          <w:sz w:val="24"/>
        </w:rPr>
        <w:t>-</w:t>
      </w:r>
      <w:r>
        <w:rPr>
          <w:rFonts w:hint="eastAsia" w:ascii="宋体" w:hAnsi="宋体"/>
          <w:color w:val="000000"/>
          <w:kern w:val="0"/>
          <w:sz w:val="24"/>
          <w:lang w:val="en-US" w:eastAsia="zh-CN"/>
        </w:rPr>
        <w:t>25</w:t>
      </w:r>
      <w:r>
        <w:rPr>
          <w:rFonts w:hint="eastAsia" w:ascii="宋体" w:hAnsi="宋体"/>
          <w:color w:val="000000"/>
          <w:kern w:val="0"/>
          <w:sz w:val="24"/>
        </w:rPr>
        <w:t>℃。</w:t>
      </w:r>
    </w:p>
    <w:p>
      <w:pPr>
        <w:adjustRightInd w:val="0"/>
        <w:snapToGrid w:val="0"/>
        <w:spacing w:line="360" w:lineRule="auto"/>
        <w:ind w:firstLine="480" w:firstLineChars="200"/>
        <w:rPr>
          <w:rFonts w:hint="eastAsia" w:ascii="宋体" w:hAnsi="宋体"/>
          <w:sz w:val="24"/>
        </w:rPr>
      </w:pPr>
      <w:r>
        <w:rPr>
          <w:rFonts w:hint="eastAsia" w:ascii="宋体" w:hAnsi="宋体"/>
          <w:sz w:val="24"/>
        </w:rPr>
        <w:t>3.2 相对湿度：5%-9</w:t>
      </w:r>
      <w:r>
        <w:rPr>
          <w:rFonts w:hint="eastAsia" w:ascii="宋体" w:hAnsi="宋体"/>
          <w:sz w:val="24"/>
          <w:lang w:val="en-US" w:eastAsia="zh-CN"/>
        </w:rPr>
        <w:t>5</w:t>
      </w:r>
      <w:r>
        <w:rPr>
          <w:rFonts w:hint="eastAsia" w:ascii="宋体" w:hAnsi="宋体"/>
          <w:sz w:val="24"/>
        </w:rPr>
        <w:t>%。</w:t>
      </w:r>
    </w:p>
    <w:p>
      <w:pPr>
        <w:adjustRightInd w:val="0"/>
        <w:snapToGrid w:val="0"/>
        <w:spacing w:line="360" w:lineRule="auto"/>
        <w:ind w:firstLine="480" w:firstLineChars="200"/>
        <w:rPr>
          <w:rFonts w:hint="eastAsia" w:ascii="宋体" w:hAnsi="宋体"/>
          <w:sz w:val="24"/>
        </w:rPr>
      </w:pPr>
      <w:r>
        <w:rPr>
          <w:rFonts w:hint="eastAsia" w:ascii="宋体" w:hAnsi="宋体"/>
          <w:sz w:val="24"/>
        </w:rPr>
        <w:t>3.3 海拔：≤1000m。</w:t>
      </w:r>
    </w:p>
    <w:p>
      <w:pPr>
        <w:adjustRightInd w:val="0"/>
        <w:snapToGrid w:val="0"/>
        <w:spacing w:line="360" w:lineRule="auto"/>
        <w:ind w:firstLine="480" w:firstLineChars="200"/>
        <w:rPr>
          <w:rFonts w:hint="eastAsia" w:ascii="宋体" w:hAnsi="宋体"/>
          <w:sz w:val="24"/>
        </w:rPr>
      </w:pPr>
      <w:r>
        <w:rPr>
          <w:rFonts w:hint="eastAsia" w:ascii="宋体" w:hAnsi="宋体"/>
          <w:sz w:val="24"/>
        </w:rPr>
        <w:t>3.4 污秽等级III级。</w:t>
      </w:r>
    </w:p>
    <w:p>
      <w:pPr>
        <w:adjustRightInd w:val="0"/>
        <w:snapToGrid w:val="0"/>
        <w:spacing w:line="360" w:lineRule="auto"/>
        <w:ind w:firstLine="480" w:firstLineChars="200"/>
        <w:rPr>
          <w:rFonts w:hint="eastAsia" w:ascii="宋体" w:hAnsi="宋体"/>
          <w:sz w:val="24"/>
        </w:rPr>
      </w:pPr>
    </w:p>
    <w:p>
      <w:pPr>
        <w:spacing w:line="360" w:lineRule="auto"/>
        <w:outlineLvl w:val="0"/>
        <w:rPr>
          <w:rFonts w:hint="eastAsia" w:ascii="宋体" w:hAnsi="宋体"/>
          <w:b/>
          <w:sz w:val="24"/>
          <w:szCs w:val="24"/>
        </w:rPr>
      </w:pPr>
      <w:r>
        <w:rPr>
          <w:rFonts w:hint="eastAsia" w:ascii="宋体" w:hAnsi="宋体"/>
          <w:b/>
          <w:sz w:val="24"/>
          <w:szCs w:val="24"/>
        </w:rPr>
        <w:t>4. 基本要求</w:t>
      </w:r>
    </w:p>
    <w:p>
      <w:pPr>
        <w:widowControl/>
        <w:spacing w:line="360" w:lineRule="auto"/>
        <w:ind w:firstLine="480" w:firstLineChars="200"/>
        <w:rPr>
          <w:rFonts w:hint="eastAsia" w:ascii="宋体" w:hAnsi="宋体"/>
          <w:kern w:val="0"/>
          <w:sz w:val="24"/>
        </w:rPr>
      </w:pPr>
      <w:r>
        <w:rPr>
          <w:rFonts w:hint="eastAsia" w:ascii="宋体" w:hAnsi="宋体"/>
          <w:kern w:val="0"/>
          <w:sz w:val="24"/>
        </w:rPr>
        <w:t>4.1</w:t>
      </w:r>
      <w:r>
        <w:rPr>
          <w:rFonts w:ascii="宋体" w:hAnsi="宋体"/>
          <w:kern w:val="0"/>
          <w:sz w:val="24"/>
        </w:rPr>
        <w:t xml:space="preserve"> </w:t>
      </w:r>
      <w:r>
        <w:rPr>
          <w:rFonts w:hint="eastAsia" w:ascii="宋体" w:hAnsi="宋体"/>
          <w:kern w:val="0"/>
          <w:sz w:val="24"/>
        </w:rPr>
        <w:t>符合</w:t>
      </w:r>
      <w:r>
        <w:rPr>
          <w:rFonts w:hint="eastAsia" w:ascii="宋体" w:hAnsi="宋体"/>
          <w:kern w:val="0"/>
          <w:sz w:val="24"/>
          <w:lang w:eastAsia="zh-CN"/>
        </w:rPr>
        <w:t>接线端子</w:t>
      </w:r>
      <w:r>
        <w:rPr>
          <w:rFonts w:hint="eastAsia" w:ascii="宋体" w:hAnsi="宋体"/>
          <w:kern w:val="0"/>
          <w:sz w:val="24"/>
        </w:rPr>
        <w:t xml:space="preserve">现行标准要求。 </w:t>
      </w:r>
    </w:p>
    <w:p>
      <w:pPr>
        <w:widowControl/>
        <w:spacing w:line="360" w:lineRule="auto"/>
        <w:ind w:firstLine="480" w:firstLineChars="200"/>
        <w:rPr>
          <w:rFonts w:hint="eastAsia" w:ascii="宋体" w:hAnsi="宋体"/>
          <w:kern w:val="0"/>
          <w:sz w:val="24"/>
        </w:rPr>
      </w:pPr>
    </w:p>
    <w:p>
      <w:pPr>
        <w:widowControl/>
        <w:numPr>
          <w:ilvl w:val="0"/>
          <w:numId w:val="1"/>
        </w:numPr>
        <w:spacing w:line="360" w:lineRule="auto"/>
        <w:rPr>
          <w:rFonts w:ascii="宋体" w:hAnsi="宋体"/>
          <w:b/>
          <w:sz w:val="24"/>
          <w:szCs w:val="24"/>
        </w:rPr>
      </w:pPr>
      <w:r>
        <w:rPr>
          <w:rFonts w:hint="eastAsia" w:ascii="宋体" w:hAnsi="宋体"/>
          <w:b/>
          <w:sz w:val="24"/>
          <w:szCs w:val="24"/>
        </w:rPr>
        <w:t>技术参数</w:t>
      </w:r>
    </w:p>
    <w:p>
      <w:pPr>
        <w:adjustRightInd w:val="0"/>
        <w:snapToGrid w:val="0"/>
        <w:spacing w:line="360" w:lineRule="auto"/>
        <w:ind w:firstLine="480" w:firstLineChars="200"/>
        <w:rPr>
          <w:rFonts w:hint="default" w:ascii="宋体" w:hAnsi="宋体"/>
          <w:sz w:val="24"/>
          <w:lang w:val="en-US" w:eastAsia="zh-CN"/>
        </w:rPr>
      </w:pPr>
      <w:r>
        <w:rPr>
          <w:rFonts w:hint="eastAsia" w:ascii="宋体" w:hAnsi="宋体"/>
          <w:sz w:val="24"/>
          <w:lang w:val="en-US" w:eastAsia="zh-CN"/>
        </w:rPr>
        <w:t>配电自动化终端接线端子</w:t>
      </w:r>
      <w:r>
        <w:rPr>
          <w:rFonts w:hint="eastAsia" w:ascii="宋体" w:hAnsi="宋体"/>
          <w:sz w:val="24"/>
          <w:lang w:eastAsia="zh-CN"/>
        </w:rPr>
        <w:t>规格如下</w:t>
      </w:r>
      <w:r>
        <w:rPr>
          <w:rFonts w:hint="eastAsia" w:ascii="宋体" w:hAnsi="宋体"/>
          <w:sz w:val="24"/>
          <w:lang w:val="en-US" w:eastAsia="zh-CN"/>
        </w:rPr>
        <w:t>:</w:t>
      </w:r>
    </w:p>
    <w:p>
      <w:pPr>
        <w:adjustRightInd w:val="0"/>
        <w:snapToGrid w:val="0"/>
        <w:spacing w:line="360" w:lineRule="auto"/>
        <w:rPr>
          <w:rFonts w:hint="eastAsia" w:ascii="宋体" w:hAnsi="宋体"/>
          <w:sz w:val="24"/>
          <w:lang w:val="en-US" w:eastAsia="zh-CN"/>
        </w:rPr>
      </w:pPr>
      <w:r>
        <w:rPr>
          <w:rFonts w:hint="eastAsia" w:ascii="宋体" w:hAnsi="宋体"/>
          <w:sz w:val="24"/>
          <w:lang w:val="en-US" w:eastAsia="zh-CN"/>
        </w:rPr>
        <w:t>冷压接线端子：RV圆形冷压接线端子铜鼻子线鼻子针型线耳电线压接头1.5平方毫米</w:t>
      </w:r>
    </w:p>
    <w:p>
      <w:pPr>
        <w:adjustRightInd w:val="0"/>
        <w:snapToGrid w:val="0"/>
        <w:spacing w:line="360" w:lineRule="auto"/>
        <w:rPr>
          <w:rFonts w:hint="eastAsia" w:ascii="宋体" w:hAnsi="宋体"/>
          <w:sz w:val="24"/>
          <w:lang w:val="en-US" w:eastAsia="zh-CN"/>
        </w:rPr>
      </w:pPr>
      <w:r>
        <w:rPr>
          <w:rFonts w:hint="eastAsia" w:ascii="宋体" w:hAnsi="宋体"/>
          <w:sz w:val="24"/>
          <w:lang w:val="en-US" w:eastAsia="zh-CN"/>
        </w:rPr>
        <w:t>冷压接线端子：RV圆形冷压接线端子铜鼻子线鼻子针型线耳电线压接头2.5平方毫米</w:t>
      </w:r>
    </w:p>
    <w:tbl>
      <w:tblPr>
        <w:tblStyle w:val="3"/>
        <w:tblW w:w="7660" w:type="dxa"/>
        <w:tblInd w:w="113" w:type="dxa"/>
        <w:tblLayout w:type="fixed"/>
        <w:tblCellMar>
          <w:top w:w="0" w:type="dxa"/>
          <w:left w:w="108" w:type="dxa"/>
          <w:bottom w:w="0" w:type="dxa"/>
          <w:right w:w="108" w:type="dxa"/>
        </w:tblCellMar>
      </w:tblPr>
      <w:tblGrid>
        <w:gridCol w:w="2240"/>
        <w:gridCol w:w="2820"/>
        <w:gridCol w:w="1520"/>
        <w:gridCol w:w="1080"/>
      </w:tblGrid>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接线端子</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RV圆形冷压接线端子铜鼻子线鼻子针型线耳电线压接头1.5平方毫米</w:t>
            </w: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kern w:val="0"/>
                <w:sz w:val="22"/>
                <w:lang w:val="en-US" w:eastAsia="zh-CN"/>
              </w:rPr>
            </w:pPr>
            <w:r>
              <w:rPr>
                <w:rFonts w:hint="eastAsia" w:ascii="宋体" w:hAnsi="宋体" w:cs="宋体"/>
                <w:kern w:val="0"/>
                <w:sz w:val="22"/>
                <w:lang w:val="en-US" w:eastAsia="zh-CN"/>
              </w:rPr>
              <w:t>500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个</w:t>
            </w:r>
          </w:p>
        </w:tc>
      </w:tr>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接线端子</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sz w:val="24"/>
                <w:lang w:val="en-US" w:eastAsia="zh-CN"/>
              </w:rPr>
              <w:t>RV圆形冷压接线端子铜鼻子线鼻子针型线耳电线压接头2.5平方毫米</w:t>
            </w: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kern w:val="0"/>
                <w:sz w:val="22"/>
                <w:lang w:val="en-US" w:eastAsia="zh-CN"/>
              </w:rPr>
            </w:pPr>
            <w:r>
              <w:rPr>
                <w:rFonts w:hint="eastAsia" w:ascii="宋体" w:hAnsi="宋体" w:cs="宋体"/>
                <w:kern w:val="0"/>
                <w:sz w:val="22"/>
                <w:lang w:val="en-US" w:eastAsia="zh-CN"/>
              </w:rPr>
              <w:t>500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个</w:t>
            </w:r>
          </w:p>
        </w:tc>
      </w:tr>
      <w:tr>
        <w:tblPrEx>
          <w:tblCellMar>
            <w:top w:w="0" w:type="dxa"/>
            <w:left w:w="108" w:type="dxa"/>
            <w:bottom w:w="0" w:type="dxa"/>
            <w:right w:w="108" w:type="dxa"/>
          </w:tblCellMar>
        </w:tblPrEx>
        <w:trPr>
          <w:trHeight w:val="300" w:hRule="atLeast"/>
        </w:trPr>
        <w:tc>
          <w:tcPr>
            <w:tcW w:w="2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合计</w:t>
            </w:r>
          </w:p>
        </w:tc>
        <w:tc>
          <w:tcPr>
            <w:tcW w:w="282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p>
        </w:tc>
        <w:tc>
          <w:tcPr>
            <w:tcW w:w="15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cs="宋体"/>
                <w:kern w:val="0"/>
                <w:sz w:val="22"/>
                <w:lang w:val="en-US" w:eastAsia="zh-CN"/>
              </w:rPr>
            </w:pPr>
            <w:r>
              <w:rPr>
                <w:rFonts w:hint="eastAsia" w:ascii="宋体" w:hAnsi="宋体" w:cs="宋体"/>
                <w:kern w:val="0"/>
                <w:sz w:val="22"/>
                <w:lang w:val="en-US" w:eastAsia="zh-CN"/>
              </w:rPr>
              <w:t>1000</w:t>
            </w:r>
          </w:p>
        </w:tc>
        <w:tc>
          <w:tcPr>
            <w:tcW w:w="10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2"/>
                <w:lang w:val="en-US" w:eastAsia="zh-CN"/>
              </w:rPr>
            </w:pPr>
            <w:r>
              <w:rPr>
                <w:rFonts w:hint="eastAsia" w:ascii="宋体" w:hAnsi="宋体" w:cs="宋体"/>
                <w:kern w:val="0"/>
                <w:sz w:val="22"/>
                <w:lang w:val="en-US" w:eastAsia="zh-CN"/>
              </w:rPr>
              <w:t>个</w:t>
            </w:r>
          </w:p>
        </w:tc>
      </w:tr>
    </w:tbl>
    <w:p>
      <w:pPr>
        <w:spacing w:line="360" w:lineRule="auto"/>
        <w:outlineLvl w:val="0"/>
        <w:rPr>
          <w:rFonts w:hint="eastAsia" w:ascii="宋体" w:hAnsi="宋体"/>
          <w:b/>
          <w:sz w:val="24"/>
          <w:szCs w:val="24"/>
        </w:rPr>
      </w:pPr>
      <w:r>
        <w:rPr>
          <w:rFonts w:hint="eastAsia" w:ascii="宋体" w:hAnsi="宋体"/>
          <w:b/>
          <w:sz w:val="24"/>
          <w:szCs w:val="24"/>
        </w:rPr>
        <w:t>6.其它要求</w:t>
      </w:r>
    </w:p>
    <w:p>
      <w:pPr>
        <w:spacing w:line="360" w:lineRule="auto"/>
        <w:ind w:firstLine="360" w:firstLineChars="150"/>
        <w:rPr>
          <w:rFonts w:hint="eastAsia" w:ascii="宋体" w:hAnsi="宋体"/>
          <w:sz w:val="24"/>
          <w:szCs w:val="24"/>
        </w:rPr>
      </w:pPr>
      <w:r>
        <w:rPr>
          <w:rFonts w:hint="eastAsia" w:ascii="宋体" w:hAnsi="宋体"/>
          <w:sz w:val="24"/>
          <w:szCs w:val="24"/>
        </w:rPr>
        <w:t>6.1供货方应按合同要求供货及相应随机附件，并提供货物清单。</w:t>
      </w:r>
    </w:p>
    <w:p>
      <w:pPr>
        <w:spacing w:line="360" w:lineRule="auto"/>
        <w:ind w:firstLine="360" w:firstLineChars="150"/>
        <w:rPr>
          <w:rFonts w:hint="eastAsia" w:ascii="宋体" w:hAnsi="宋体"/>
          <w:sz w:val="24"/>
          <w:szCs w:val="24"/>
        </w:rPr>
      </w:pPr>
      <w:r>
        <w:rPr>
          <w:rFonts w:hint="eastAsia" w:ascii="宋体" w:hAnsi="宋体"/>
          <w:sz w:val="24"/>
          <w:szCs w:val="24"/>
        </w:rPr>
        <w:t>6.2装置的包装应符合国家有关标准的规定。在运输过程中供货方对设备应采取防震、防雨等措施。</w:t>
      </w:r>
    </w:p>
    <w:p>
      <w:pPr>
        <w:spacing w:line="360" w:lineRule="auto"/>
        <w:ind w:firstLine="360" w:firstLineChars="150"/>
        <w:rPr>
          <w:rFonts w:hint="eastAsia" w:ascii="宋体" w:hAnsi="宋体"/>
          <w:sz w:val="24"/>
          <w:szCs w:val="24"/>
        </w:rPr>
      </w:pPr>
      <w:r>
        <w:rPr>
          <w:rFonts w:hint="eastAsia" w:ascii="宋体" w:hAnsi="宋体"/>
          <w:sz w:val="24"/>
          <w:szCs w:val="24"/>
        </w:rPr>
        <w:t>6.3供货方应给订货方计量技术部门进行现场技术培训，必要的情况下到供货方实地进行考察和技术培训。</w:t>
      </w:r>
    </w:p>
    <w:p>
      <w:pPr>
        <w:spacing w:line="360" w:lineRule="auto"/>
        <w:ind w:firstLine="360" w:firstLineChars="150"/>
        <w:rPr>
          <w:rFonts w:hint="eastAsia" w:ascii="宋体" w:hAnsi="宋体"/>
          <w:sz w:val="24"/>
          <w:szCs w:val="24"/>
        </w:rPr>
      </w:pPr>
      <w:r>
        <w:rPr>
          <w:rFonts w:hint="eastAsia" w:ascii="宋体" w:hAnsi="宋体"/>
          <w:sz w:val="24"/>
          <w:szCs w:val="24"/>
        </w:rPr>
        <w:t>6.4供货方应提供购置设备的完整的使用说明书及技术资料。</w:t>
      </w:r>
    </w:p>
    <w:p>
      <w:pPr>
        <w:spacing w:line="360" w:lineRule="auto"/>
        <w:outlineLvl w:val="0"/>
        <w:rPr>
          <w:rFonts w:hint="eastAsia" w:ascii="宋体" w:hAnsi="宋体"/>
          <w:b/>
          <w:sz w:val="24"/>
          <w:szCs w:val="24"/>
        </w:rPr>
      </w:pPr>
      <w:r>
        <w:rPr>
          <w:rFonts w:hint="eastAsia" w:ascii="宋体" w:hAnsi="宋体"/>
          <w:b/>
          <w:sz w:val="24"/>
          <w:szCs w:val="24"/>
        </w:rPr>
        <w:t>7. 验收与培训</w:t>
      </w:r>
    </w:p>
    <w:p>
      <w:pPr>
        <w:spacing w:line="360" w:lineRule="auto"/>
        <w:ind w:firstLine="360" w:firstLineChars="150"/>
        <w:rPr>
          <w:rFonts w:hint="eastAsia"/>
          <w:color w:val="000000"/>
          <w:sz w:val="24"/>
        </w:rPr>
      </w:pPr>
      <w:r>
        <w:rPr>
          <w:rFonts w:hint="eastAsia" w:ascii="宋体" w:hAnsi="宋体"/>
          <w:color w:val="000000"/>
          <w:sz w:val="24"/>
        </w:rPr>
        <w:t>7.1</w:t>
      </w:r>
      <w:r>
        <w:rPr>
          <w:rFonts w:hint="eastAsia"/>
          <w:color w:val="000000"/>
          <w:sz w:val="24"/>
        </w:rPr>
        <w:t>在交货后一个月内订货方负责组织验收，验收按照技术规范要求进行。</w:t>
      </w:r>
    </w:p>
    <w:p>
      <w:pPr>
        <w:spacing w:line="360" w:lineRule="auto"/>
        <w:ind w:firstLine="360" w:firstLineChars="150"/>
        <w:rPr>
          <w:rFonts w:hint="eastAsia"/>
          <w:color w:val="000000"/>
          <w:sz w:val="24"/>
        </w:rPr>
      </w:pPr>
      <w:r>
        <w:rPr>
          <w:rFonts w:hint="eastAsia" w:ascii="宋体" w:hAnsi="宋体"/>
          <w:color w:val="000000"/>
          <w:sz w:val="24"/>
        </w:rPr>
        <w:t>7.2</w:t>
      </w:r>
      <w:r>
        <w:rPr>
          <w:rFonts w:hint="eastAsia"/>
          <w:color w:val="000000"/>
          <w:sz w:val="24"/>
        </w:rPr>
        <w:t>供方负责对订货方的人员进行专业培训，培训内容包括操作使用、故障判断方法、注意事项、保养维护等。</w:t>
      </w:r>
    </w:p>
    <w:p>
      <w:pPr>
        <w:spacing w:line="360" w:lineRule="auto"/>
        <w:outlineLvl w:val="0"/>
        <w:rPr>
          <w:rFonts w:hint="eastAsia" w:ascii="宋体" w:hAnsi="宋体"/>
          <w:b/>
          <w:sz w:val="24"/>
          <w:szCs w:val="24"/>
        </w:rPr>
      </w:pPr>
      <w:r>
        <w:rPr>
          <w:rFonts w:hint="eastAsia" w:ascii="宋体" w:hAnsi="宋体"/>
          <w:b/>
          <w:sz w:val="24"/>
          <w:szCs w:val="24"/>
        </w:rPr>
        <w:t>8. 售后服务</w:t>
      </w:r>
    </w:p>
    <w:p>
      <w:pPr>
        <w:spacing w:line="360" w:lineRule="auto"/>
        <w:ind w:firstLine="360" w:firstLineChars="150"/>
        <w:rPr>
          <w:rFonts w:hint="eastAsia"/>
          <w:color w:val="000000"/>
          <w:sz w:val="24"/>
        </w:rPr>
      </w:pPr>
      <w:r>
        <w:rPr>
          <w:rFonts w:hint="eastAsia"/>
          <w:color w:val="000000"/>
          <w:sz w:val="24"/>
        </w:rPr>
        <w:t>8.1自发货之日起，提供不少于12个月质保期。</w:t>
      </w:r>
    </w:p>
    <w:p>
      <w:pPr>
        <w:spacing w:line="360" w:lineRule="auto"/>
        <w:ind w:firstLine="360" w:firstLineChars="150"/>
        <w:rPr>
          <w:rFonts w:hint="eastAsia"/>
          <w:color w:val="000000"/>
          <w:sz w:val="24"/>
        </w:rPr>
      </w:pPr>
      <w:r>
        <w:rPr>
          <w:rFonts w:hint="eastAsia"/>
          <w:color w:val="000000"/>
          <w:sz w:val="24"/>
        </w:rPr>
        <w:t>8.2提供免费提供使用培训服务。</w:t>
      </w:r>
    </w:p>
    <w:p>
      <w:pPr>
        <w:numPr>
          <w:ilvl w:val="0"/>
          <w:numId w:val="2"/>
        </w:numPr>
        <w:spacing w:line="360" w:lineRule="auto"/>
        <w:outlineLvl w:val="0"/>
        <w:rPr>
          <w:rFonts w:hint="eastAsia" w:ascii="宋体" w:hAnsi="宋体"/>
          <w:b/>
          <w:sz w:val="24"/>
          <w:szCs w:val="24"/>
        </w:rPr>
      </w:pPr>
      <w:r>
        <w:rPr>
          <w:rFonts w:hint="eastAsia" w:ascii="宋体" w:hAnsi="宋体"/>
          <w:b/>
          <w:sz w:val="24"/>
          <w:szCs w:val="24"/>
        </w:rPr>
        <w:t>供货范围</w:t>
      </w:r>
    </w:p>
    <w:p>
      <w:pPr>
        <w:spacing w:line="360" w:lineRule="auto"/>
        <w:rPr>
          <w:rFonts w:hint="eastAsia" w:ascii="宋体" w:hAnsi="宋体"/>
          <w:szCs w:val="21"/>
        </w:rPr>
      </w:pPr>
      <w:r>
        <w:rPr>
          <w:rFonts w:hint="eastAsia" w:ascii="宋体" w:hAnsi="宋体"/>
          <w:szCs w:val="21"/>
        </w:rPr>
        <w:t>投标方应确保供货范围完整，对于属于合同设备运行所必需的部件，即使本供货范围未列出或数目不足，投标方仍须在执行合同时补足。</w:t>
      </w:r>
    </w:p>
    <w:p>
      <w:pPr>
        <w:spacing w:line="360" w:lineRule="auto"/>
        <w:ind w:firstLine="420"/>
        <w:jc w:val="both"/>
        <w:outlineLvl w:val="0"/>
        <w:rPr>
          <w:rFonts w:hint="eastAsia" w:ascii="宋体" w:hAnsi="宋体"/>
          <w:szCs w:val="21"/>
        </w:rPr>
      </w:pPr>
      <w:r>
        <w:rPr>
          <w:rFonts w:hint="eastAsia" w:ascii="宋体" w:hAnsi="宋体"/>
          <w:szCs w:val="21"/>
        </w:rPr>
        <w:t>投标方应根据自身设备的具体情况，提供详细的设备配置清单，包括安装材料、专用工具和备品备件，清单中依次说明型号、数量、产地、生产厂家等内容。</w:t>
      </w:r>
    </w:p>
    <w:p>
      <w:pPr>
        <w:spacing w:line="360" w:lineRule="auto"/>
        <w:jc w:val="center"/>
        <w:rPr>
          <w:rFonts w:hint="eastAsia" w:ascii="宋体" w:hAnsi="宋体" w:cs="Times New Roman"/>
          <w:szCs w:val="21"/>
        </w:rPr>
      </w:pPr>
    </w:p>
    <w:p>
      <w:pPr>
        <w:spacing w:line="360" w:lineRule="auto"/>
        <w:jc w:val="center"/>
        <w:rPr>
          <w:rFonts w:hint="eastAsia" w:ascii="宋体" w:hAnsi="宋体" w:cs="Times New Roman"/>
          <w:szCs w:val="21"/>
        </w:rPr>
      </w:pPr>
    </w:p>
    <w:p>
      <w:pPr>
        <w:spacing w:line="360" w:lineRule="auto"/>
        <w:jc w:val="center"/>
        <w:rPr>
          <w:rFonts w:hint="eastAsia" w:ascii="宋体" w:hAnsi="宋体" w:cs="Times New Roman"/>
          <w:szCs w:val="21"/>
        </w:rPr>
      </w:pPr>
      <w:r>
        <w:rPr>
          <w:rFonts w:hint="eastAsia" w:ascii="宋体" w:hAnsi="宋体" w:cs="Times New Roman"/>
          <w:szCs w:val="21"/>
        </w:rPr>
        <w:t>供货表</w:t>
      </w:r>
    </w:p>
    <w:tbl>
      <w:tblPr>
        <w:tblStyle w:val="3"/>
        <w:tblW w:w="9058" w:type="dxa"/>
        <w:tblInd w:w="-18" w:type="dxa"/>
        <w:tblLayout w:type="fixed"/>
        <w:tblCellMar>
          <w:top w:w="0" w:type="dxa"/>
          <w:left w:w="108" w:type="dxa"/>
          <w:bottom w:w="0" w:type="dxa"/>
          <w:right w:w="108" w:type="dxa"/>
        </w:tblCellMar>
      </w:tblPr>
      <w:tblGrid>
        <w:gridCol w:w="1088"/>
        <w:gridCol w:w="2302"/>
        <w:gridCol w:w="3188"/>
        <w:gridCol w:w="1240"/>
        <w:gridCol w:w="1240"/>
      </w:tblGrid>
      <w:tr>
        <w:tblPrEx>
          <w:tblCellMar>
            <w:top w:w="0" w:type="dxa"/>
            <w:left w:w="108" w:type="dxa"/>
            <w:bottom w:w="0" w:type="dxa"/>
            <w:right w:w="108" w:type="dxa"/>
          </w:tblCellMar>
        </w:tblPrEx>
        <w:trPr>
          <w:trHeight w:val="286" w:hRule="atLeast"/>
        </w:trPr>
        <w:tc>
          <w:tcPr>
            <w:tcW w:w="10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cs="宋体"/>
                <w:szCs w:val="21"/>
              </w:rPr>
              <w:t>序号</w:t>
            </w:r>
          </w:p>
        </w:tc>
        <w:tc>
          <w:tcPr>
            <w:tcW w:w="230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Cs w:val="21"/>
              </w:rPr>
            </w:pPr>
            <w:bookmarkStart w:id="2" w:name="RANGE!D4"/>
            <w:r>
              <w:rPr>
                <w:rFonts w:hint="eastAsia" w:ascii="宋体" w:hAnsi="宋体" w:cs="宋体"/>
                <w:szCs w:val="21"/>
              </w:rPr>
              <w:t>设备名称</w:t>
            </w:r>
            <w:bookmarkEnd w:id="2"/>
          </w:p>
        </w:tc>
        <w:tc>
          <w:tcPr>
            <w:tcW w:w="5668"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szCs w:val="21"/>
              </w:rPr>
              <w:t>招标方要求</w:t>
            </w:r>
          </w:p>
        </w:tc>
      </w:tr>
      <w:tr>
        <w:tblPrEx>
          <w:tblCellMar>
            <w:top w:w="0" w:type="dxa"/>
            <w:left w:w="108" w:type="dxa"/>
            <w:bottom w:w="0" w:type="dxa"/>
            <w:right w:w="108" w:type="dxa"/>
          </w:tblCellMar>
        </w:tblPrEx>
        <w:trPr>
          <w:trHeight w:val="538" w:hRule="atLeast"/>
        </w:trPr>
        <w:tc>
          <w:tcPr>
            <w:tcW w:w="1088" w:type="dxa"/>
            <w:vMerge w:val="continue"/>
            <w:tcBorders>
              <w:left w:val="single" w:color="auto" w:sz="4" w:space="0"/>
              <w:bottom w:val="single" w:color="auto" w:sz="4" w:space="0"/>
              <w:right w:val="single" w:color="auto" w:sz="4" w:space="0"/>
            </w:tcBorders>
            <w:noWrap w:val="0"/>
            <w:vAlign w:val="top"/>
          </w:tcPr>
          <w:p>
            <w:pPr>
              <w:widowControl/>
              <w:jc w:val="left"/>
              <w:rPr>
                <w:rFonts w:hint="eastAsia" w:ascii="宋体" w:hAnsi="宋体" w:cs="宋体"/>
                <w:szCs w:val="21"/>
              </w:rPr>
            </w:pPr>
          </w:p>
        </w:tc>
        <w:tc>
          <w:tcPr>
            <w:tcW w:w="230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szCs w:val="21"/>
              </w:rPr>
            </w:pPr>
          </w:p>
        </w:tc>
        <w:tc>
          <w:tcPr>
            <w:tcW w:w="3188" w:type="dxa"/>
            <w:tcBorders>
              <w:top w:val="nil"/>
              <w:left w:val="nil"/>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型式</w:t>
            </w:r>
          </w:p>
          <w:p>
            <w:pPr>
              <w:jc w:val="center"/>
              <w:rPr>
                <w:rFonts w:hint="eastAsia" w:ascii="宋体" w:hAnsi="宋体"/>
                <w:szCs w:val="21"/>
              </w:rPr>
            </w:pPr>
            <w:r>
              <w:rPr>
                <w:rFonts w:hint="eastAsia" w:ascii="宋体" w:hAnsi="宋体"/>
                <w:szCs w:val="21"/>
              </w:rPr>
              <w:t>规格</w:t>
            </w:r>
          </w:p>
        </w:tc>
        <w:tc>
          <w:tcPr>
            <w:tcW w:w="124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cs="宋体"/>
                <w:szCs w:val="21"/>
              </w:rPr>
              <w:t>单位</w:t>
            </w:r>
          </w:p>
        </w:tc>
        <w:tc>
          <w:tcPr>
            <w:tcW w:w="124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szCs w:val="21"/>
              </w:rPr>
            </w:pPr>
            <w:r>
              <w:rPr>
                <w:rFonts w:hint="eastAsia" w:ascii="宋体" w:hAnsi="宋体" w:cs="宋体"/>
                <w:szCs w:val="21"/>
              </w:rPr>
              <w:t>数量</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1</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接线端子</w:t>
            </w:r>
          </w:p>
        </w:tc>
        <w:tc>
          <w:tcPr>
            <w:tcW w:w="31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RV圆形冷压接线端子铜鼻子线鼻子针型线耳电线压接头1.5平方毫米</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lang w:val="en-US" w:eastAsia="zh-CN"/>
              </w:rPr>
            </w:pPr>
            <w:r>
              <w:rPr>
                <w:rFonts w:hint="eastAsia"/>
                <w:kern w:val="0"/>
                <w:sz w:val="22"/>
                <w:lang w:val="en-US" w:eastAsia="zh-CN"/>
              </w:rPr>
              <w:t>500</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Cs w:val="21"/>
                <w:lang w:val="en-US" w:eastAsia="zh-CN"/>
              </w:rPr>
            </w:pPr>
            <w:r>
              <w:rPr>
                <w:rFonts w:hint="eastAsia" w:ascii="宋体" w:hAnsi="宋体"/>
                <w:szCs w:val="21"/>
                <w:lang w:val="en-US" w:eastAsia="zh-CN"/>
              </w:rPr>
              <w:t>2</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bookmarkStart w:id="3" w:name="_GoBack"/>
            <w:bookmarkEnd w:id="3"/>
            <w:r>
              <w:rPr>
                <w:rFonts w:hint="eastAsia" w:ascii="宋体" w:hAnsi="宋体"/>
                <w:sz w:val="24"/>
                <w:lang w:val="en-US" w:eastAsia="zh-CN"/>
              </w:rPr>
              <w:t>接线端子</w:t>
            </w:r>
          </w:p>
        </w:tc>
        <w:tc>
          <w:tcPr>
            <w:tcW w:w="31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sz w:val="24"/>
                <w:lang w:val="en-US" w:eastAsia="zh-CN"/>
              </w:rPr>
              <w:t>RV圆形冷压接线端子铜鼻子线鼻子针型线耳电线压接头2.5平方毫米</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lang w:val="en-US" w:eastAsia="zh-CN"/>
              </w:rPr>
            </w:pPr>
            <w:r>
              <w:rPr>
                <w:rFonts w:hint="eastAsia"/>
                <w:kern w:val="0"/>
                <w:sz w:val="22"/>
                <w:lang w:val="en-US" w:eastAsia="zh-CN"/>
              </w:rPr>
              <w:t>500</w:t>
            </w:r>
          </w:p>
        </w:tc>
      </w:tr>
      <w:tr>
        <w:tblPrEx>
          <w:tblCellMar>
            <w:top w:w="0" w:type="dxa"/>
            <w:left w:w="108" w:type="dxa"/>
            <w:bottom w:w="0" w:type="dxa"/>
            <w:right w:w="108" w:type="dxa"/>
          </w:tblCellMar>
        </w:tblPrEx>
        <w:trPr>
          <w:trHeight w:val="547" w:hRule="atLeast"/>
        </w:trPr>
        <w:tc>
          <w:tcPr>
            <w:tcW w:w="10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Cs w:val="21"/>
                <w:lang w:eastAsia="zh-CN"/>
              </w:rPr>
            </w:pPr>
            <w:r>
              <w:rPr>
                <w:rFonts w:hint="eastAsia" w:ascii="宋体" w:hAnsi="宋体"/>
                <w:szCs w:val="21"/>
                <w:lang w:eastAsia="zh-CN"/>
              </w:rPr>
              <w:t>合计</w:t>
            </w:r>
          </w:p>
        </w:tc>
        <w:tc>
          <w:tcPr>
            <w:tcW w:w="23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rPr>
            </w:pPr>
          </w:p>
        </w:tc>
        <w:tc>
          <w:tcPr>
            <w:tcW w:w="318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lang w:eastAsia="zh-CN"/>
              </w:rPr>
            </w:pPr>
          </w:p>
        </w:tc>
        <w:tc>
          <w:tcPr>
            <w:tcW w:w="12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szCs w:val="21"/>
                <w:lang w:val="en-US" w:eastAsia="zh-CN"/>
              </w:rPr>
            </w:pPr>
            <w:r>
              <w:rPr>
                <w:rFonts w:hint="eastAsia"/>
                <w:kern w:val="0"/>
                <w:sz w:val="22"/>
                <w:lang w:val="en-US" w:eastAsia="zh-CN"/>
              </w:rPr>
              <w:t>个</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lang w:val="en-US" w:eastAsia="zh-CN"/>
              </w:rPr>
            </w:pPr>
            <w:r>
              <w:rPr>
                <w:rFonts w:hint="eastAsia" w:ascii="宋体" w:hAnsi="宋体"/>
                <w:lang w:val="en-US" w:eastAsia="zh-CN"/>
              </w:rPr>
              <w:t>1000</w:t>
            </w:r>
          </w:p>
        </w:tc>
      </w:tr>
    </w:tbl>
    <w:p>
      <w:pPr>
        <w:pStyle w:val="5"/>
        <w:adjustRightInd w:val="0"/>
        <w:snapToGrid w:val="0"/>
        <w:spacing w:line="360" w:lineRule="auto"/>
        <w:ind w:firstLine="0" w:firstLineChars="0"/>
        <w:rPr>
          <w:rFonts w:ascii="宋体" w:hAnsi="宋体"/>
          <w:sz w:val="24"/>
          <w:szCs w:val="24"/>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043F8B"/>
    <w:multiLevelType w:val="singleLevel"/>
    <w:tmpl w:val="58043F8B"/>
    <w:lvl w:ilvl="0" w:tentative="0">
      <w:start w:val="9"/>
      <w:numFmt w:val="decimal"/>
      <w:suff w:val="space"/>
      <w:lvlText w:val="%1."/>
      <w:lvlJc w:val="left"/>
    </w:lvl>
  </w:abstractNum>
  <w:abstractNum w:abstractNumId="1">
    <w:nsid w:val="5D244A78"/>
    <w:multiLevelType w:val="singleLevel"/>
    <w:tmpl w:val="5D244A78"/>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wNzU2YjZjYTdlODMzZmI3YjEyODBlNmFlZDg2MDQifQ=="/>
  </w:docVars>
  <w:rsids>
    <w:rsidRoot w:val="06084943"/>
    <w:rsid w:val="0394551D"/>
    <w:rsid w:val="03A4118D"/>
    <w:rsid w:val="05D129C0"/>
    <w:rsid w:val="06084943"/>
    <w:rsid w:val="06953CD4"/>
    <w:rsid w:val="06962D76"/>
    <w:rsid w:val="06F01EEF"/>
    <w:rsid w:val="07915174"/>
    <w:rsid w:val="09DA210F"/>
    <w:rsid w:val="0A251700"/>
    <w:rsid w:val="0F3B548A"/>
    <w:rsid w:val="113E29BA"/>
    <w:rsid w:val="1185374C"/>
    <w:rsid w:val="11DD154F"/>
    <w:rsid w:val="17F915E3"/>
    <w:rsid w:val="219203D7"/>
    <w:rsid w:val="21A62FC3"/>
    <w:rsid w:val="230865CC"/>
    <w:rsid w:val="23752551"/>
    <w:rsid w:val="23E00D50"/>
    <w:rsid w:val="26D56143"/>
    <w:rsid w:val="27C90E29"/>
    <w:rsid w:val="2A987620"/>
    <w:rsid w:val="2BB65AF5"/>
    <w:rsid w:val="2C950F2A"/>
    <w:rsid w:val="38B03172"/>
    <w:rsid w:val="394B4D59"/>
    <w:rsid w:val="39541E50"/>
    <w:rsid w:val="39B60AE6"/>
    <w:rsid w:val="3D773059"/>
    <w:rsid w:val="3DDB2309"/>
    <w:rsid w:val="3F297A2D"/>
    <w:rsid w:val="416D5C15"/>
    <w:rsid w:val="4A2527DD"/>
    <w:rsid w:val="4CE03087"/>
    <w:rsid w:val="4DB04CA3"/>
    <w:rsid w:val="553A4CA0"/>
    <w:rsid w:val="55FB322A"/>
    <w:rsid w:val="58505A1D"/>
    <w:rsid w:val="5BDD2B45"/>
    <w:rsid w:val="5D8F563D"/>
    <w:rsid w:val="67EB2D8A"/>
    <w:rsid w:val="69BE5C3C"/>
    <w:rsid w:val="6AE15431"/>
    <w:rsid w:val="70496725"/>
    <w:rsid w:val="72001A3E"/>
    <w:rsid w:val="7578641F"/>
    <w:rsid w:val="76C544D3"/>
    <w:rsid w:val="7B427677"/>
    <w:rsid w:val="7C34627C"/>
    <w:rsid w:val="7D707D52"/>
    <w:rsid w:val="7DCE7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rPr>
      <w:rFonts w:ascii="Times New Roman" w:hAnsi="Times New Roman"/>
      <w:szCs w:val="20"/>
    </w:rPr>
  </w:style>
  <w:style w:type="paragraph"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2022-06-20T04:07:00Z</dcterms:created>
  <dc:creator>Administrator</dc:creator>
  <cp:lastModifiedBy>yeweiqing.nn</cp:lastModifiedBy>
  <dcterms:modified xsi:type="dcterms:W3CDTF">2024-03-07T08:22:24Z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75386356B86C47FBA20D75A6C9EE4BFC</vt:lpwstr>
  </property>
</Properties>
</file>